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F15" w:rsidRPr="00EC722E" w:rsidRDefault="004C4F15" w:rsidP="00CA7694">
      <w:pPr>
        <w:ind w:left="0"/>
        <w:rPr>
          <w:sz w:val="32"/>
        </w:rPr>
      </w:pPr>
      <w:bookmarkStart w:id="0" w:name="_GoBack"/>
      <w:bookmarkEnd w:id="0"/>
      <w:r w:rsidRPr="00EC722E">
        <w:rPr>
          <w:sz w:val="32"/>
        </w:rPr>
        <w:t>Операционные риски для группы процессов / процесса «</w:t>
      </w:r>
      <w:r w:rsidRPr="00EC722E">
        <w:rPr>
          <w:sz w:val="32"/>
        </w:rPr>
        <w:fldChar w:fldCharType="begin"/>
      </w:r>
      <w:r w:rsidRPr="00EC722E">
        <w:rPr>
          <w:sz w:val="32"/>
        </w:rPr>
        <w:instrText>DOCVARIABLE Название_БП_a59c83b2</w:instrText>
      </w:r>
      <w:r w:rsidR="00E80359">
        <w:rPr>
          <w:sz w:val="32"/>
        </w:rPr>
        <w:fldChar w:fldCharType="separate"/>
      </w:r>
      <w:r w:rsidR="001844F8">
        <w:rPr>
          <w:sz w:val="32"/>
        </w:rPr>
        <w:t>A1.2 Обслуживание юридических лиц</w:t>
      </w:r>
      <w:r w:rsidRPr="00EC722E">
        <w:rPr>
          <w:sz w:val="32"/>
        </w:rPr>
        <w:fldChar w:fldCharType="end"/>
      </w:r>
      <w:r w:rsidRPr="00EC722E">
        <w:rPr>
          <w:sz w:val="32"/>
        </w:rPr>
        <w:t>»</w:t>
      </w:r>
    </w:p>
    <w:p w:rsidR="007F0D35" w:rsidRPr="00EC722E" w:rsidRDefault="008C19AE" w:rsidP="00580EA0">
      <w:pPr>
        <w:pStyle w:val="5"/>
        <w:spacing w:before="0" w:after="0"/>
        <w:ind w:left="0"/>
      </w:pPr>
      <w:r w:rsidRPr="00EC722E">
        <w:t xml:space="preserve"> </w:t>
      </w:r>
      <w:bookmarkStart w:id="1" w:name="Подпроцессы_1634d3dc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Название_БП_aeb746ad_1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A1.2.1 Расчетно-кассовое обслуживание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2" w:name="_GoBack_1"/>
            <w:bookmarkEnd w:id="2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3" w:name="Подпроцессы_1634d3dc_2"/>
      <w:bookmarkEnd w:id="1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Название_БП_aeb746ad_2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A1.2.2 Привлечение денежных средств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4" w:name="_GoBack_2"/>
            <w:bookmarkEnd w:id="4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5" w:name="Подпроцессы_1634d3dc_3"/>
      <w:bookmarkEnd w:id="3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Название_БП_aeb746ad_3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A1.2.3 Кредитование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6" w:name="_GoBack_3"/>
            <w:bookmarkEnd w:id="6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3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Потеря комплекта документов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в документации (оформление, хранение, логистика)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14.07.2015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16.07.2015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Повторное оформление комплекта документов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1000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Отсутствие двух специалистов для выполнения бизнес-процесса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недостаточности трудовых ресурсов для выполнения процессов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15.07.2015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16.07.2015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Временное назначение функций другим специалистам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7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Неправильное заведение информации в АБС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Ошибка при исполнении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02.07.2015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02.07.2015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Исправление ошибок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20000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Увеличение сроков проверки документов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временных задержек в процессах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операционного отдела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14.07.2015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16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Подписание документов от имени банка без доверенности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превышения полномочий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Директор юридического департамента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22.07.2015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23.07.2015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Оформление доверенностей и создание карты полномочий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17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Сотрудники не обучены по изменениям в кредитном процессе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неинформированности персонала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операционных рисков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28.07.2015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bookmarkStart w:id="7" w:name="БизнесМодель_usr_Риски_ф_7a4a24a6_3"/>
            <w:bookmarkEnd w:id="7"/>
            <w:r>
              <w:t>18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Отказ фронт-офисной системы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выхода из строя ключевых систем и оборудования банка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27.07.2015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29.07.2015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30000</w:t>
            </w: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временных задержек в процессах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Регулярная проверка времени выполнения и трудоёмкости бизнес-процессов банка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/ оптимизация систем электронного документооборота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23.07.2015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Ошибка при исполнении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Своевременное обучение и информирование персонала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03.08.2015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обучения и развития персонала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Формализация процедур действий в стрессовых ситуациях, вызванных различными видами сбоев, ошибок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выхода из строя ключевых систем и оборудования банка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Дублирование каналов связи для критически важных процессов и систем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03.08.2015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связи и телекоммуникаций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Резервирование и дублирование основных банковских систем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потери электронной информации и данных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резервных копий данных, хранимых в защищенном месте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22.07.2015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нарушения требований клиентов процесса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/ актуализация комплексной бизнес-модели банка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бизнес-процессов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Анализ и внедрение успешных практик и современных решений в процессы банка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20.07.2015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превышения полномочий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Внедрение и актуализация системы управления полномочиями сотрудников банка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30.07.2015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стратегического и организационного развития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ухода ключевого персонала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Подбор квалифицированных кадров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подбора персонала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  <w:bookmarkStart w:id="8" w:name="Фильтр_класса_Операционн_51546afc_3"/>
            <w:bookmarkEnd w:id="8"/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Организация взаимозаменяемости персонала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30.07.2015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корпоративного кредитования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9" w:name="Подпроцессы_1634d3dc_4"/>
      <w:bookmarkEnd w:id="5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Название_БП_aeb746ad_4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A1.2.4 Услуги с пластиковыми картами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10" w:name="_GoBack_4"/>
            <w:bookmarkEnd w:id="10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11" w:name="Подпроцессы_1634d3dc_5"/>
      <w:bookmarkEnd w:id="9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Название_БП_aeb746ad_5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A1.2.5 Индивидуальные банковские сейфы ЮЛ (ИБС)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12" w:name="_GoBack_5"/>
            <w:bookmarkEnd w:id="12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13" w:name="Подпроцессы_1634d3dc_6"/>
      <w:bookmarkEnd w:id="11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Название_БП_aeb746ad_6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A1.2.6 Инкассация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14" w:name="_GoBack_6"/>
            <w:bookmarkEnd w:id="14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bookmarkStart w:id="15" w:name="БизнесМодель_usr_Риски_ф_7a4a24a6_6"/>
            <w:bookmarkEnd w:id="15"/>
            <w:r>
              <w:t>2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Поломка двигателя автомобиля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Поломка машины инкассаторов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службы инкассации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09.07.2015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09.07.2015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Замена автомобиля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  <w:bookmarkStart w:id="16" w:name="Фильтр_класса_Операционн_51546afc_6"/>
            <w:bookmarkEnd w:id="16"/>
            <w:r>
              <w:t>Поломка машины инкассаторов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Регулярное техническое обслуживание авто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26.01.2016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транспортного отдела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17" w:name="Подпроцессы_1634d3dc_7"/>
      <w:bookmarkEnd w:id="13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Название_БП_aeb746ad_7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A1.2.7 Дистанционное банковское обслуживание ЮЛ (ДБО)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18" w:name="_GoBack_7"/>
            <w:bookmarkEnd w:id="18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6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Попытка DoS-атаки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несанкционированного доступа к информационным системам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Директор службы информационной безопасности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06.07.2015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06.07.2015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9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Ошибка в начислении комиссий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Технические неполадки в работе информационных систем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по работе с корпоративными клиентами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01.07.2015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02.07.2015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Выполнение технических работ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50000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11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Отсутствие двух специалистов для выполнения бизнес-процесса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недостаточности трудовых ресурсов для выполнения процессов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ДБО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01.07.2015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02.07.2015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Временный перевод специалистов из другого офиса банка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12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Поломка диска (HDD) на сервере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потери электронной информации и данных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23.07.2015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15000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13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Некорректное удаление данных из системы сотрудником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Ошибки персонала при работе с информационными системами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ДБО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16.07.2015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17.07.2015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Восстановление данных из "бэкапа" (резервной копии) за предыдущий день</w:t>
            </w: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  <w:bookmarkStart w:id="19" w:name="БизнесМодель_usr_Риски_ф_7a4a24a6_7"/>
            <w:bookmarkEnd w:id="19"/>
            <w:r>
              <w:t>14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Отказ в доступе к системе в течение 10 минут</w:t>
            </w: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Риск превышения допустимой нагрузки на оборудование и системы</w:t>
            </w: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Начальник управления операционных рисков</w:t>
            </w: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27.07.2015</w:t>
            </w: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  <w:r>
              <w:t>10000</w:t>
            </w: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lastRenderedPageBreak/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Ошибки персонала при работе с информационными системами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Своевременное обучение и информирование персонала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08.07.2015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Специалист по обучению и развитию персонала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Оптимизация системной архитектуры банка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09.07.2015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несанкционированного доступа к информационным системам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Оптимизация систем компьютерной и информационной безопасности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23.07.2015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Директор службы информационной безопасности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Внедрение / оптимизация механизмов защиты и кодирования информации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Директор службы информационной безопасности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недостаточности ресурсов для выполнения процесса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дополнительных аппаратных ресурсов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Контроль своевременных и качественных закупок оборудования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23.07.2015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административно-хозяйственного управления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ухода ключевого персонала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Организация взаимозаменяемости персонала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по работе с корпоративными клиентами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и оптимизация систем мотивации персонала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29.07.2015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организационного развития и методологии HR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потери электронной информации и данных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Создание резервных копий данных, хранимых в защищенном месте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Директор службы информационной безопасности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Регулярное тестирование и проверка систем и оборудования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28.07.2015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 w:val="restart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Риск выхода из строя ключевых систем и оборудования банка</w:t>
            </w: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Регулярное тестирование и проверка систем и оборудования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31.07.2015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Комплексное планирование нагрузки на информационные системы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4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16.07.2015</w:t>
            </w: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отдела системного администрирования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  <w:tr w:rsidR="000360C8" w:rsidRPr="00EC722E" w:rsidTr="004137BC">
        <w:tc>
          <w:tcPr>
            <w:tcW w:w="3119" w:type="dxa"/>
            <w:vMerge/>
            <w:vAlign w:val="center"/>
          </w:tcPr>
          <w:p w:rsidR="000360C8" w:rsidRPr="00EC722E" w:rsidRDefault="000360C8" w:rsidP="00F42D8A">
            <w:pPr>
              <w:pStyle w:val="af6"/>
            </w:pPr>
            <w:bookmarkStart w:id="20" w:name="Фильтр_класса_Операционн_51546afc_7"/>
            <w:bookmarkEnd w:id="20"/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Резервирование и дублирование основных банковских систем</w:t>
            </w: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  <w:r>
              <w:t>5</w:t>
            </w: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  <w:r>
              <w:t>Начальник управления банковских технологий</w:t>
            </w: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21" w:name="Подпроцессы_1634d3dc_8"/>
      <w:bookmarkEnd w:id="17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Название_БП_aeb746ad_8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A1.2.8 Депозитарная деятельность и ценные бумаги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22" w:name="_GoBack_8"/>
            <w:bookmarkEnd w:id="22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lastRenderedPageBreak/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23" w:name="Подпроцессы_1634d3dc_9"/>
      <w:bookmarkEnd w:id="21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Название_БП_aeb746ad_9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A1.2.9 Пакеты услуг ЮЛ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24" w:name="_GoBack_9"/>
            <w:bookmarkEnd w:id="24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p w:rsidR="0057332C" w:rsidRDefault="0057332C">
      <w:pPr>
        <w:pStyle w:val="5"/>
        <w:spacing w:before="0" w:after="0"/>
        <w:ind w:left="0"/>
      </w:pPr>
      <w:bookmarkStart w:id="25" w:name="Подпроцессы_1634d3dc_10"/>
      <w:bookmarkEnd w:id="23"/>
    </w:p>
    <w:p w:rsidR="002A02B0" w:rsidRPr="00EC722E" w:rsidRDefault="002A02B0" w:rsidP="00580EA0">
      <w:pPr>
        <w:pStyle w:val="5"/>
        <w:spacing w:before="0" w:after="0"/>
        <w:ind w:left="0"/>
        <w:rPr>
          <w:iCs w:val="0"/>
          <w:color w:val="1F497D" w:themeColor="text2"/>
          <w:kern w:val="0"/>
          <w:sz w:val="28"/>
          <w:szCs w:val="28"/>
        </w:rPr>
      </w:pPr>
      <w:r w:rsidRPr="00EC722E">
        <w:rPr>
          <w:iCs w:val="0"/>
          <w:color w:val="1F497D" w:themeColor="text2"/>
          <w:kern w:val="0"/>
          <w:sz w:val="28"/>
          <w:szCs w:val="28"/>
        </w:rPr>
        <w:t xml:space="preserve">Процесс </w:t>
      </w:r>
      <w:r w:rsidR="008D0D4B" w:rsidRPr="00EC722E">
        <w:rPr>
          <w:iCs w:val="0"/>
          <w:color w:val="1F497D" w:themeColor="text2"/>
          <w:kern w:val="0"/>
          <w:sz w:val="28"/>
          <w:szCs w:val="28"/>
        </w:rPr>
        <w:t>/ п</w:t>
      </w:r>
      <w:r w:rsidR="007E471A" w:rsidRPr="00EC722E">
        <w:rPr>
          <w:iCs w:val="0"/>
          <w:color w:val="1F497D" w:themeColor="text2"/>
          <w:kern w:val="0"/>
          <w:sz w:val="28"/>
          <w:szCs w:val="28"/>
        </w:rPr>
        <w:t>роцедура</w:t>
      </w:r>
      <w:r w:rsidRPr="00EC722E">
        <w:rPr>
          <w:iCs w:val="0"/>
          <w:color w:val="1F497D" w:themeColor="text2"/>
          <w:kern w:val="0"/>
          <w:sz w:val="28"/>
          <w:szCs w:val="28"/>
        </w:rPr>
        <w:t xml:space="preserve"> «</w:t>
      </w:r>
      <w:r w:rsidRPr="00EC722E">
        <w:rPr>
          <w:color w:val="1F497D" w:themeColor="text2"/>
          <w:sz w:val="28"/>
          <w:szCs w:val="28"/>
        </w:rPr>
        <w:fldChar w:fldCharType="begin"/>
      </w:r>
      <w:r w:rsidRPr="00EC722E">
        <w:rPr>
          <w:color w:val="1F497D" w:themeColor="text2"/>
          <w:sz w:val="28"/>
          <w:szCs w:val="28"/>
        </w:rPr>
        <w:instrText>DOCVARIABLE Название_БП_aeb746ad_10</w:instrText>
      </w:r>
      <w:r w:rsidR="00E80359">
        <w:rPr>
          <w:color w:val="1F497D" w:themeColor="text2"/>
          <w:sz w:val="28"/>
          <w:szCs w:val="28"/>
        </w:rPr>
        <w:fldChar w:fldCharType="separate"/>
      </w:r>
      <w:r w:rsidR="001844F8">
        <w:rPr>
          <w:color w:val="1F497D" w:themeColor="text2"/>
          <w:sz w:val="28"/>
          <w:szCs w:val="28"/>
        </w:rPr>
        <w:t>A1.2.10 Клиентский сервис ЮЛ (работа с клиентами и продажи)</w:t>
      </w:r>
      <w:r w:rsidRPr="00EC722E">
        <w:rPr>
          <w:color w:val="1F497D" w:themeColor="text2"/>
          <w:sz w:val="28"/>
          <w:szCs w:val="28"/>
        </w:rPr>
        <w:fldChar w:fldCharType="end"/>
      </w:r>
      <w:r w:rsidRPr="00EC722E">
        <w:rPr>
          <w:color w:val="1F497D" w:themeColor="text2"/>
          <w:sz w:val="28"/>
          <w:szCs w:val="28"/>
        </w:rPr>
        <w:t>»</w:t>
      </w:r>
    </w:p>
    <w:p w:rsidR="00CA7694" w:rsidRPr="00EC722E" w:rsidRDefault="008C19AE" w:rsidP="002A02B0">
      <w:pPr>
        <w:pStyle w:val="5"/>
        <w:spacing w:before="0" w:after="120"/>
        <w:ind w:left="0"/>
      </w:pPr>
      <w:r w:rsidRPr="00EC722E">
        <w:rPr>
          <w:iCs w:val="0"/>
          <w:kern w:val="0"/>
          <w:sz w:val="22"/>
          <w:szCs w:val="24"/>
        </w:rPr>
        <w:t>Факты (события)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693"/>
        <w:gridCol w:w="2835"/>
        <w:gridCol w:w="1418"/>
        <w:gridCol w:w="1275"/>
        <w:gridCol w:w="2835"/>
        <w:gridCol w:w="993"/>
      </w:tblGrid>
      <w:tr w:rsidR="008C19AE" w:rsidRPr="00EC722E" w:rsidTr="007E471A">
        <w:trPr>
          <w:tblHeader/>
        </w:trPr>
        <w:tc>
          <w:tcPr>
            <w:tcW w:w="851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ind w:left="-108"/>
              <w:jc w:val="left"/>
            </w:pPr>
            <w:r w:rsidRPr="00EC722E">
              <w:t>Номер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Факт (событие) операционного риска</w:t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8C19AE" w:rsidRPr="00EC722E" w:rsidRDefault="00CA7694" w:rsidP="00C552D3">
            <w:pPr>
              <w:pStyle w:val="ac"/>
              <w:jc w:val="left"/>
            </w:pPr>
            <w:r w:rsidRPr="00EC722E">
              <w:t>Операцио</w:t>
            </w:r>
            <w:bookmarkStart w:id="26" w:name="_GoBack_10"/>
            <w:bookmarkEnd w:id="26"/>
            <w:r w:rsidRPr="00EC722E">
              <w:t>нный риск (типовой, категория)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Кто выявил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регистрации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Дата устранения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Выполненные корректирующие действия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8C19AE" w:rsidRPr="00EC722E" w:rsidRDefault="008C19AE" w:rsidP="00C552D3">
            <w:pPr>
              <w:pStyle w:val="ac"/>
              <w:jc w:val="left"/>
            </w:pPr>
            <w:r w:rsidRPr="00EC722E">
              <w:t>Убытки (руб.)</w:t>
            </w:r>
          </w:p>
        </w:tc>
      </w:tr>
      <w:tr w:rsidR="008C19AE" w:rsidRPr="00EC722E" w:rsidTr="007E471A">
        <w:tc>
          <w:tcPr>
            <w:tcW w:w="851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6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418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127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2835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  <w:tc>
          <w:tcPr>
            <w:tcW w:w="993" w:type="dxa"/>
            <w:vAlign w:val="center"/>
          </w:tcPr>
          <w:p w:rsidR="008C19AE" w:rsidRPr="00EC722E" w:rsidRDefault="008C19AE" w:rsidP="008C19AE">
            <w:pPr>
              <w:pStyle w:val="af6"/>
            </w:pPr>
          </w:p>
        </w:tc>
      </w:tr>
    </w:tbl>
    <w:p w:rsidR="008C19AE" w:rsidRPr="00EC722E" w:rsidRDefault="008C19AE" w:rsidP="008C19AE"/>
    <w:p w:rsidR="008C19AE" w:rsidRPr="00EC722E" w:rsidRDefault="000360C8" w:rsidP="002A02B0">
      <w:pPr>
        <w:spacing w:after="120"/>
        <w:ind w:left="-567" w:firstLine="567"/>
        <w:jc w:val="left"/>
        <w:rPr>
          <w:b/>
          <w:sz w:val="22"/>
        </w:rPr>
      </w:pPr>
      <w:r w:rsidRPr="00EC722E">
        <w:rPr>
          <w:b/>
          <w:sz w:val="22"/>
        </w:rPr>
        <w:t>Контроль предупреждающих действий для минимизации операционных рисков</w:t>
      </w:r>
    </w:p>
    <w:tbl>
      <w:tblPr>
        <w:tblStyle w:val="ab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4111"/>
        <w:gridCol w:w="1559"/>
        <w:gridCol w:w="1701"/>
        <w:gridCol w:w="3685"/>
        <w:gridCol w:w="1560"/>
      </w:tblGrid>
      <w:tr w:rsidR="000360C8" w:rsidRPr="00EC722E" w:rsidTr="004137BC">
        <w:trPr>
          <w:tblHeader/>
        </w:trPr>
        <w:tc>
          <w:tcPr>
            <w:tcW w:w="3119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Операционный</w:t>
            </w:r>
            <w:r w:rsidR="004C4F15" w:rsidRPr="00EC722E">
              <w:t xml:space="preserve"> риск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0360C8" w:rsidRPr="00EC722E" w:rsidRDefault="00580EA0" w:rsidP="00C552D3">
            <w:pPr>
              <w:pStyle w:val="ac"/>
              <w:jc w:val="left"/>
            </w:pPr>
            <w:r w:rsidRPr="00EC722E">
              <w:t>Предупреждающие действия (ПД)</w:t>
            </w:r>
            <w:r w:rsidR="004C4F15" w:rsidRPr="00EC722E">
              <w:t xml:space="preserve"> 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Приоритет</w:t>
            </w:r>
            <w:r w:rsidR="00580EA0" w:rsidRPr="00EC722E">
              <w:t xml:space="preserve"> ПД</w:t>
            </w:r>
            <w:r w:rsidRPr="00EC722E">
              <w:t xml:space="preserve"> (1-5)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Дата последней реализации ПД</w:t>
            </w:r>
          </w:p>
        </w:tc>
        <w:tc>
          <w:tcPr>
            <w:tcW w:w="3685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Исполнитель</w:t>
            </w:r>
            <w:r w:rsidR="00580EA0" w:rsidRPr="00EC722E">
              <w:t xml:space="preserve"> ПД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0360C8" w:rsidRPr="00EC722E" w:rsidRDefault="000360C8" w:rsidP="00C552D3">
            <w:pPr>
              <w:pStyle w:val="ac"/>
              <w:jc w:val="left"/>
            </w:pPr>
            <w:r w:rsidRPr="00EC722E">
              <w:t>Комментарий</w:t>
            </w:r>
          </w:p>
        </w:tc>
      </w:tr>
      <w:tr w:rsidR="000360C8" w:rsidRPr="00EC722E" w:rsidTr="004137BC">
        <w:tc>
          <w:tcPr>
            <w:tcW w:w="3119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4111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1701" w:type="dxa"/>
            <w:vAlign w:val="center"/>
          </w:tcPr>
          <w:p w:rsidR="000360C8" w:rsidRPr="00EC722E" w:rsidRDefault="000360C8" w:rsidP="00F42D8A">
            <w:pPr>
              <w:pStyle w:val="af6"/>
              <w:jc w:val="center"/>
            </w:pPr>
          </w:p>
        </w:tc>
        <w:tc>
          <w:tcPr>
            <w:tcW w:w="3685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  <w:tc>
          <w:tcPr>
            <w:tcW w:w="1560" w:type="dxa"/>
            <w:vAlign w:val="center"/>
          </w:tcPr>
          <w:p w:rsidR="000360C8" w:rsidRPr="00EC722E" w:rsidRDefault="000360C8" w:rsidP="00F42D8A">
            <w:pPr>
              <w:pStyle w:val="af6"/>
            </w:pPr>
          </w:p>
        </w:tc>
      </w:tr>
    </w:tbl>
    <w:p w:rsidR="00A40C57" w:rsidRPr="00EC722E" w:rsidRDefault="00A40C57" w:rsidP="000360C8"/>
    <w:bookmarkEnd w:id="25"/>
    <w:p w:rsidR="00A40C57" w:rsidRPr="00EC722E" w:rsidRDefault="00A40C57" w:rsidP="00580EA0">
      <w:pPr>
        <w:ind w:left="0"/>
      </w:pPr>
    </w:p>
    <w:p w:rsidR="003D1F08" w:rsidRPr="00EC722E" w:rsidRDefault="003D1F08" w:rsidP="003D1F08">
      <w:pPr>
        <w:ind w:left="0"/>
      </w:pPr>
      <w:r w:rsidRPr="00EC722E">
        <w:t xml:space="preserve">Дата формирования отчёта: </w:t>
      </w:r>
      <w:r w:rsidR="008C7622" w:rsidRPr="00EC722E">
        <w:fldChar w:fldCharType="begin"/>
      </w:r>
      <w:r w:rsidR="008C7622" w:rsidRPr="00EC722E">
        <w:instrText xml:space="preserve"> TIME \@ "dd.MM.yyyy" </w:instrText>
      </w:r>
      <w:r w:rsidR="008C7622" w:rsidRPr="00EC722E">
        <w:fldChar w:fldCharType="separate"/>
      </w:r>
      <w:r w:rsidR="001844F8">
        <w:rPr>
          <w:noProof/>
        </w:rPr>
        <w:t>18.12.2016</w:t>
      </w:r>
      <w:r w:rsidR="008C7622" w:rsidRPr="00EC722E">
        <w:fldChar w:fldCharType="end"/>
      </w:r>
    </w:p>
    <w:sectPr w:rsidR="003D1F08" w:rsidRPr="00EC722E" w:rsidSect="00F42D8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bf00a6c5-d5af-4852-b7d2-fe377b708716"/>
    <w:docVar w:name="BSPortal" w:val="False"/>
    <w:docVar w:name="BSTemplateGUID" w:val="8cbba430-a545-4100-bdae-0c72f5334e77"/>
    <w:docVar w:name="BSUserType" w:val="NFR"/>
    <w:docVar w:name="BSVersion" w:val="4.1.5912.37147"/>
    <w:docVar w:name="Название_БП_a59c83b2" w:val="A1.2 Обслуживание юридических лиц"/>
    <w:docVar w:name="Название_БП_aeb746ad_1" w:val="A1.2.1 Расчетно-кассовое обслуживание ЮЛ"/>
    <w:docVar w:name="Название_БП_aeb746ad_10" w:val="A1.2.10 Клиентский сервис ЮЛ (работа с клиентами и продажи)"/>
    <w:docVar w:name="Название_БП_aeb746ad_2" w:val="A1.2.2 Привлечение денежных средств ЮЛ"/>
    <w:docVar w:name="Название_БП_aeb746ad_3" w:val="A1.2.3 Кредитование ЮЛ"/>
    <w:docVar w:name="Название_БП_aeb746ad_4" w:val="A1.2.4 Услуги с пластиковыми картами ЮЛ"/>
    <w:docVar w:name="Название_БП_aeb746ad_5" w:val="A1.2.5 Индивидуальные банковские сейфы ЮЛ (ИБС)"/>
    <w:docVar w:name="Название_БП_aeb746ad_6" w:val="A1.2.6 Инкассация ЮЛ"/>
    <w:docVar w:name="Название_БП_aeb746ad_7" w:val="A1.2.7 Дистанционное банковское обслуживание ЮЛ (ДБО)"/>
    <w:docVar w:name="Название_БП_aeb746ad_8" w:val="A1.2.8 Депозитарная деятельность и ценные бумаги"/>
    <w:docVar w:name="Название_БП_aeb746ad_9" w:val="A1.2.9 Пакеты услуг ЮЛ"/>
  </w:docVars>
  <w:rsids>
    <w:rsidRoot w:val="002F1689"/>
    <w:rsid w:val="000274D8"/>
    <w:rsid w:val="000360C8"/>
    <w:rsid w:val="000B7273"/>
    <w:rsid w:val="000F1FC9"/>
    <w:rsid w:val="00106DFE"/>
    <w:rsid w:val="0015464B"/>
    <w:rsid w:val="001844F8"/>
    <w:rsid w:val="001A00C0"/>
    <w:rsid w:val="001D2647"/>
    <w:rsid w:val="001E0705"/>
    <w:rsid w:val="00232AD4"/>
    <w:rsid w:val="00266532"/>
    <w:rsid w:val="002845F2"/>
    <w:rsid w:val="002A02B0"/>
    <w:rsid w:val="002B2465"/>
    <w:rsid w:val="002C2F3B"/>
    <w:rsid w:val="002E1784"/>
    <w:rsid w:val="002F1689"/>
    <w:rsid w:val="0032770D"/>
    <w:rsid w:val="003D1F08"/>
    <w:rsid w:val="003F7847"/>
    <w:rsid w:val="00406212"/>
    <w:rsid w:val="004137BC"/>
    <w:rsid w:val="0044415C"/>
    <w:rsid w:val="00460F59"/>
    <w:rsid w:val="004643D9"/>
    <w:rsid w:val="00466E40"/>
    <w:rsid w:val="00480E16"/>
    <w:rsid w:val="004834BE"/>
    <w:rsid w:val="00497CD3"/>
    <w:rsid w:val="004A3FA4"/>
    <w:rsid w:val="004A5B69"/>
    <w:rsid w:val="004B5CF5"/>
    <w:rsid w:val="004C4F15"/>
    <w:rsid w:val="004D18E7"/>
    <w:rsid w:val="00544FCE"/>
    <w:rsid w:val="005460A2"/>
    <w:rsid w:val="005476C1"/>
    <w:rsid w:val="00555032"/>
    <w:rsid w:val="0055688B"/>
    <w:rsid w:val="0057332C"/>
    <w:rsid w:val="00580EA0"/>
    <w:rsid w:val="005E6D17"/>
    <w:rsid w:val="00634653"/>
    <w:rsid w:val="00635D37"/>
    <w:rsid w:val="00642EAC"/>
    <w:rsid w:val="00687EB7"/>
    <w:rsid w:val="006C3291"/>
    <w:rsid w:val="006E044E"/>
    <w:rsid w:val="006E3F42"/>
    <w:rsid w:val="006F4A97"/>
    <w:rsid w:val="006F4B31"/>
    <w:rsid w:val="00706C8E"/>
    <w:rsid w:val="0071344C"/>
    <w:rsid w:val="007740C4"/>
    <w:rsid w:val="00776E12"/>
    <w:rsid w:val="007E0F7A"/>
    <w:rsid w:val="007E471A"/>
    <w:rsid w:val="007F0D35"/>
    <w:rsid w:val="00817675"/>
    <w:rsid w:val="00843F49"/>
    <w:rsid w:val="00846456"/>
    <w:rsid w:val="00852289"/>
    <w:rsid w:val="00854B89"/>
    <w:rsid w:val="008B6630"/>
    <w:rsid w:val="008C19AE"/>
    <w:rsid w:val="008C6908"/>
    <w:rsid w:val="008C7622"/>
    <w:rsid w:val="008D0D4B"/>
    <w:rsid w:val="008D268A"/>
    <w:rsid w:val="009221ED"/>
    <w:rsid w:val="009322B1"/>
    <w:rsid w:val="009640E9"/>
    <w:rsid w:val="009C0257"/>
    <w:rsid w:val="00A244B0"/>
    <w:rsid w:val="00A40C57"/>
    <w:rsid w:val="00A6734A"/>
    <w:rsid w:val="00A821AC"/>
    <w:rsid w:val="00AA00A0"/>
    <w:rsid w:val="00AA474B"/>
    <w:rsid w:val="00AC5052"/>
    <w:rsid w:val="00B86FC7"/>
    <w:rsid w:val="00C17505"/>
    <w:rsid w:val="00C552D3"/>
    <w:rsid w:val="00C669F8"/>
    <w:rsid w:val="00C918F5"/>
    <w:rsid w:val="00CA7694"/>
    <w:rsid w:val="00CD737D"/>
    <w:rsid w:val="00D468FF"/>
    <w:rsid w:val="00D57BAA"/>
    <w:rsid w:val="00D93BEF"/>
    <w:rsid w:val="00DB0419"/>
    <w:rsid w:val="00DC42F2"/>
    <w:rsid w:val="00DF3A02"/>
    <w:rsid w:val="00E17B02"/>
    <w:rsid w:val="00E80359"/>
    <w:rsid w:val="00E859A7"/>
    <w:rsid w:val="00EB0BFE"/>
    <w:rsid w:val="00EB6ACD"/>
    <w:rsid w:val="00EC434A"/>
    <w:rsid w:val="00EC722E"/>
    <w:rsid w:val="00F34BA6"/>
    <w:rsid w:val="00F42D8A"/>
    <w:rsid w:val="00F934DE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6F21490-3517-4C7B-875A-484D3AD1E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1319</Words>
  <Characters>10131</Characters>
  <Application>Microsoft Office Word</Application>
  <DocSecurity>0</DocSecurity>
  <Lines>844</Lines>
  <Paragraphs>440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Операционные риски группы процессов (из единого реестра) A1.2 Обслуживание юридических лиц</vt:lpstr>
    </vt:vector>
  </TitlesOfParts>
  <Company/>
  <LinksUpToDate>false</LinksUpToDate>
  <CharactersWithSpaces>11010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Операционные риски группы процессов (из единого реестра) A1.2 Обслуживание юридических лиц</dc:title>
  <dc:subject>'A1.2 Обслуживание юридических лиц'</dc:subject>
  <dc:creator>Белкин Владимир Борисович</dc:creator>
  <cp:keywords/>
  <dc:description/>
  <cp:lastModifiedBy>Roman</cp:lastModifiedBy>
  <cp:revision>1</cp:revision>
  <dcterms:created xsi:type="dcterms:W3CDTF">2016-12-18T10:01:00Z</dcterms:created>
  <dcterms:modified xsi:type="dcterms:W3CDTF">2016-12-18T10:01:00Z</dcterms:modified>
</cp:coreProperties>
</file>